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Joint Schedule 7 (Financial Difficulties)</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985"/>
        </w:tabs>
        <w:spacing w:after="120" w:before="120" w:lineRule="auto"/>
        <w:ind w:left="-142"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pPr>
      <w:r w:rsidDel="00000000" w:rsidR="00000000" w:rsidRPr="00000000">
        <w:rPr>
          <w:rFonts w:ascii="Arial" w:cs="Arial" w:eastAsia="Arial" w:hAnsi="Arial"/>
          <w:color w:val="000000"/>
          <w:sz w:val="24"/>
          <w:szCs w:val="24"/>
          <w:rtl w:val="0"/>
        </w:rPr>
        <w:t xml:space="preserve">In this Schedule, the following definitions shall apply:</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Rule="auto"/>
        <w:ind w:left="360" w:hanging="1004"/>
        <w:rPr>
          <w:rFonts w:ascii="Arial" w:cs="Arial" w:eastAsia="Arial" w:hAnsi="Arial"/>
          <w:color w:val="000000"/>
          <w:sz w:val="24"/>
          <w:szCs w:val="24"/>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Rule="auto"/>
              <w:ind w:right="-202"/>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“Applicable Financial Indicators”</w:t>
            </w:r>
          </w:p>
        </w:tc>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ind w:left="141"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means the financial indicators from Paragraph </w:t>
            </w:r>
            <w:r w:rsidDel="00000000" w:rsidR="00000000" w:rsidRPr="00000000">
              <w:rPr>
                <w:rFonts w:ascii="Arial" w:cs="Arial" w:eastAsia="Arial" w:hAnsi="Arial"/>
                <w:smallCaps w:val="1"/>
                <w:color w:val="000000"/>
                <w:sz w:val="24"/>
                <w:szCs w:val="24"/>
                <w:rtl w:val="0"/>
              </w:rPr>
              <w:t xml:space="preserve">5.1 </w:t>
            </w:r>
            <w:r w:rsidDel="00000000" w:rsidR="00000000" w:rsidRPr="00000000">
              <w:rPr>
                <w:rFonts w:ascii="Arial" w:cs="Arial" w:eastAsia="Arial" w:hAnsi="Arial"/>
                <w:color w:val="000000"/>
                <w:sz w:val="24"/>
                <w:szCs w:val="24"/>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Rule="auto"/>
              <w:ind w:left="644" w:right="-202" w:hanging="64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Supplier’s board of directors;</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644" w:right="-202" w:hanging="64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 Confirmation”</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Rule="auto"/>
              <w:ind w:right="-202"/>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Markets and Suppliers Team”</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Rule="auto"/>
              <w:ind w:right="-202"/>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Rule="auto"/>
              <w:ind w:left="644" w:right="-202" w:hanging="64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“FDE Group”</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 Key Sub-contractors, the Guarantor and the Monitored Suppliers;</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right="-202"/>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events listed in Paragraph 3.1 of this Schedule;</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right="-202"/>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Remediation Plan”</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644" w:right="-202" w:hanging="644"/>
              <w:jc w:val="left"/>
              <w:rPr>
                <w:rFonts w:ascii="Arial" w:cs="Arial" w:eastAsia="Arial" w:hAnsi="Arial"/>
                <w:b w:val="1"/>
                <w:color w:val="000000"/>
                <w:sz w:val="24"/>
                <w:szCs w:val="24"/>
              </w:rPr>
            </w:pPr>
            <w:bookmarkStart w:colFirst="0" w:colLast="0" w:name="_xctk5o7g1aww" w:id="0"/>
            <w:bookmarkEnd w:id="0"/>
            <w:r w:rsidDel="00000000" w:rsidR="00000000" w:rsidRPr="00000000">
              <w:rPr>
                <w:rFonts w:ascii="Arial" w:cs="Arial" w:eastAsia="Arial" w:hAnsi="Arial"/>
                <w:b w:val="1"/>
                <w:color w:val="000000"/>
                <w:sz w:val="24"/>
                <w:szCs w:val="24"/>
                <w:rtl w:val="0"/>
              </w:rPr>
              <w:t xml:space="preserve">“Financial Indicators”</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Thresholds”</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Annex 1 of this Schedule;</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134"/>
              </w:tabs>
              <w:spacing w:after="120" w:before="120" w:lineRule="auto"/>
              <w:ind w:right="505"/>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suppliers to government listed at </w:t>
            </w:r>
            <w:hyperlink r:id="rId6">
              <w:r w:rsidDel="00000000" w:rsidR="00000000" w:rsidRPr="00000000">
                <w:rPr>
                  <w:rFonts w:ascii="Arial" w:cs="Arial" w:eastAsia="Arial" w:hAnsi="Arial"/>
                  <w:color w:val="000000"/>
                  <w:sz w:val="24"/>
                  <w:szCs w:val="24"/>
                  <w:rtl w:val="0"/>
                </w:rPr>
                <w:t xml:space="preserve">https://www.gov.uk/government/publications/strategic-suppliers</w:t>
              </w:r>
            </w:hyperlink>
            <w:r w:rsidDel="00000000" w:rsidR="00000000" w:rsidRPr="00000000">
              <w:rPr>
                <w:rFonts w:ascii="Arial" w:cs="Arial" w:eastAsia="Arial" w:hAnsi="Arial"/>
                <w:color w:val="000000"/>
                <w:sz w:val="24"/>
                <w:szCs w:val="24"/>
                <w:rtl w:val="0"/>
              </w:rPr>
              <w:t xml:space="preserve">.</w:t>
            </w:r>
          </w:p>
        </w:tc>
      </w:tr>
    </w:tbl>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pPr>
      <w:r w:rsidDel="00000000" w:rsidR="00000000" w:rsidRPr="00000000">
        <w:rPr>
          <w:rFonts w:ascii="Arial" w:cs="Arial" w:eastAsia="Arial" w:hAnsi="Arial"/>
          <w:color w:val="000000"/>
          <w:sz w:val="24"/>
          <w:szCs w:val="24"/>
          <w:rtl w:val="0"/>
        </w:rPr>
        <w:t xml:space="preserve">The Parties shall comply with the provisions of this Schedule in relation to the assessment of the financial standing of the FDE Group and the consequences of a change to that financial standing.</w:t>
      </w:r>
      <w:r w:rsidDel="00000000" w:rsidR="00000000" w:rsidRPr="00000000">
        <w:rPr>
          <w:rtl w:val="0"/>
        </w:rPr>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pPr>
      <w:r w:rsidDel="00000000" w:rsidR="00000000" w:rsidRPr="00000000">
        <w:rPr>
          <w:rFonts w:ascii="Arial" w:cs="Arial" w:eastAsia="Arial" w:hAnsi="Arial"/>
          <w:color w:val="000000"/>
          <w:sz w:val="24"/>
          <w:szCs w:val="24"/>
          <w:rtl w:val="0"/>
        </w:rPr>
        <w:t xml:space="preserve">The terms of this Schedule shall survive: </w:t>
      </w:r>
      <w:r w:rsidDel="00000000" w:rsidR="00000000" w:rsidRPr="00000000">
        <w:rPr>
          <w:rtl w:val="0"/>
        </w:rPr>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r w:rsidDel="00000000" w:rsidR="00000000" w:rsidRPr="00000000">
        <w:rPr>
          <w:rtl w:val="0"/>
        </w:rPr>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under the Call-Off Contract until the termination or expiry of the Call-Off Contract.</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left="936" w:hanging="1004"/>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rFonts w:ascii="Arial" w:cs="Arial" w:eastAsia="Arial" w:hAnsi="Arial"/>
          <w:b w:val="1"/>
          <w:color w:val="000000"/>
          <w:sz w:val="24"/>
          <w:szCs w:val="24"/>
          <w:rtl w:val="0"/>
        </w:rPr>
        <w:t xml:space="preserve">Warranties and duty to notify</w:t>
      </w:r>
      <w:r w:rsidDel="00000000" w:rsidR="00000000" w:rsidRPr="00000000">
        <w:rPr>
          <w:rtl w:val="0"/>
        </w:rPr>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rFonts w:ascii="Arial" w:cs="Arial" w:eastAsia="Arial" w:hAnsi="Arial"/>
          <w:color w:val="000000"/>
          <w:sz w:val="24"/>
          <w:szCs w:val="24"/>
          <w:rtl w:val="0"/>
        </w:rPr>
        <w:t xml:space="preserve">The Supplier warrants and represents to the Relevant Authority for the benefit of the Relevant Authority that as at the Effective Date:</w:t>
      </w:r>
      <w:r w:rsidDel="00000000" w:rsidR="00000000" w:rsidRPr="00000000">
        <w:rPr>
          <w:rtl w:val="0"/>
        </w:rPr>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long term credit ratings issued for each entity in the FDE Group by each of the Rating Agencies are as set out in Annex 2 to this Schedule; and</w:t>
      </w:r>
      <w:r w:rsidDel="00000000" w:rsidR="00000000" w:rsidRPr="00000000">
        <w:rPr>
          <w:rtl w:val="0"/>
        </w:rPr>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financial position or, as appropriate, the financial performance of each of the Supplier, Guarantor and Key Sub-contractors satisfies the Financial Target Thresholds.</w:t>
      </w:r>
      <w:r w:rsidDel="00000000" w:rsidR="00000000" w:rsidRPr="00000000">
        <w:rPr>
          <w:rtl w:val="0"/>
        </w:rPr>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rFonts w:ascii="Arial" w:cs="Arial" w:eastAsia="Arial" w:hAnsi="Arial"/>
          <w:color w:val="000000"/>
          <w:sz w:val="24"/>
          <w:szCs w:val="24"/>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r w:rsidDel="00000000" w:rsidR="00000000" w:rsidRPr="00000000">
        <w:rPr>
          <w:rtl w:val="0"/>
        </w:rPr>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rFonts w:ascii="Arial" w:cs="Arial" w:eastAsia="Arial" w:hAnsi="Arial"/>
          <w:color w:val="000000"/>
          <w:sz w:val="24"/>
          <w:szCs w:val="24"/>
          <w:rtl w:val="0"/>
        </w:rPr>
        <w:t xml:space="preserve">The Supplier shall:</w:t>
      </w:r>
      <w:r w:rsidDel="00000000" w:rsidR="00000000" w:rsidRPr="00000000">
        <w:rPr>
          <w:rtl w:val="0"/>
        </w:rPr>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regularly monitor the credit ratings of each entity in the FDE Group with the Rating Agencies;</w:t>
      </w:r>
      <w:r w:rsidDel="00000000" w:rsidR="00000000" w:rsidRPr="00000000">
        <w:rPr>
          <w:rtl w:val="0"/>
        </w:rPr>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r w:rsidDel="00000000" w:rsidR="00000000" w:rsidRPr="00000000">
        <w:rPr>
          <w:rtl w:val="0"/>
        </w:rPr>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r w:rsidDel="00000000" w:rsidR="00000000" w:rsidRPr="00000000">
        <w:rPr>
          <w:rtl w:val="0"/>
        </w:rPr>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r w:rsidDel="00000000" w:rsidR="00000000" w:rsidRPr="00000000">
        <w:rPr>
          <w:rtl w:val="0"/>
        </w:rPr>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rFonts w:ascii="Arial" w:cs="Arial" w:eastAsia="Arial" w:hAnsi="Arial"/>
          <w:color w:val="000000"/>
          <w:sz w:val="24"/>
          <w:szCs w:val="24"/>
          <w:rtl w:val="0"/>
        </w:rPr>
        <w:t xml:space="preserve">Each report submitted by the Supplier pursuant to paragraph 2.3.2 shall:</w:t>
      </w:r>
      <w:r w:rsidDel="00000000" w:rsidR="00000000" w:rsidRPr="00000000">
        <w:rPr>
          <w:rtl w:val="0"/>
        </w:rPr>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be a single report with separate sections for each of the FDE Group entities;</w:t>
      </w:r>
      <w:r w:rsidDel="00000000" w:rsidR="00000000" w:rsidRPr="00000000">
        <w:rPr>
          <w:rtl w:val="0"/>
        </w:rPr>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contain a sufficient level of information to enable the Relevant Authority to verify the calculations that have been made in respect of the Financial Indicators;</w:t>
      </w:r>
      <w:r w:rsidDel="00000000" w:rsidR="00000000" w:rsidRPr="00000000">
        <w:rPr>
          <w:rtl w:val="0"/>
        </w:rPr>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include key financial and other supporting information (including any accounts data that has been relied on) as separate annexes;</w:t>
      </w:r>
      <w:r w:rsidDel="00000000" w:rsidR="00000000" w:rsidRPr="00000000">
        <w:rPr>
          <w:rtl w:val="0"/>
        </w:rPr>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r w:rsidDel="00000000" w:rsidR="00000000" w:rsidRPr="00000000">
        <w:rPr>
          <w:rtl w:val="0"/>
        </w:rPr>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include a history of the Financial Indicators reported by the Supplier in graph form to enable the Relevant Authority to easily analyse and assess the trends in financial performance.</w:t>
      </w:r>
      <w:r w:rsidDel="00000000" w:rsidR="00000000" w:rsidRPr="00000000">
        <w:rPr>
          <w:rtl w:val="0"/>
        </w:rPr>
      </w:r>
    </w:p>
    <w:p w:rsidR="00000000" w:rsidDel="00000000" w:rsidP="00000000" w:rsidRDefault="00000000" w:rsidRPr="00000000" w14:paraId="0000003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rFonts w:ascii="Arial" w:cs="Arial" w:eastAsia="Arial" w:hAnsi="Arial"/>
          <w:b w:val="1"/>
          <w:color w:val="000000"/>
          <w:sz w:val="24"/>
          <w:szCs w:val="24"/>
          <w:rtl w:val="0"/>
        </w:rPr>
        <w:t xml:space="preserve">Financial Distress events</w:t>
      </w:r>
      <w:r w:rsidDel="00000000" w:rsidR="00000000" w:rsidRPr="00000000">
        <w:rPr>
          <w:rtl w:val="0"/>
        </w:rPr>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rFonts w:ascii="Arial" w:cs="Arial" w:eastAsia="Arial" w:hAnsi="Arial"/>
          <w:color w:val="000000"/>
          <w:sz w:val="24"/>
          <w:szCs w:val="24"/>
          <w:rtl w:val="0"/>
        </w:rPr>
        <w:t xml:space="preserve">The following shall be Financial Distress Events:</w:t>
      </w:r>
      <w:r w:rsidDel="00000000" w:rsidR="00000000" w:rsidRPr="00000000">
        <w:rPr>
          <w:rtl w:val="0"/>
        </w:rPr>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credit rating of an FDE Group entity dropping below the applicable Credit Rating Threshold;</w:t>
      </w:r>
      <w:r w:rsidDel="00000000" w:rsidR="00000000" w:rsidRPr="00000000">
        <w:rPr>
          <w:rtl w:val="0"/>
        </w:rPr>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an FDE Group entity issuing a profits warning to a stock exchange or making any other public announcement, in each case about a material deterioration in its financial position or prospects;</w:t>
      </w:r>
      <w:r w:rsidDel="00000000" w:rsidR="00000000" w:rsidRPr="00000000">
        <w:rPr>
          <w:rtl w:val="0"/>
        </w:rPr>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an FDE Group entity;</w:t>
      </w:r>
      <w:r w:rsidDel="00000000" w:rsidR="00000000" w:rsidRPr="00000000">
        <w:rPr>
          <w:rtl w:val="0"/>
        </w:rPr>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an FDE Group entity committing a material breach of covenant to its lenders;</w:t>
      </w:r>
      <w:r w:rsidDel="00000000" w:rsidR="00000000" w:rsidRPr="00000000">
        <w:rPr>
          <w:rtl w:val="0"/>
        </w:rPr>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a Key Sub-contractor notifying CCS or the Buyer that the Supplier has not satisfied any material sums properly due under a specified invoice and not subject to a genuine dispute;</w:t>
      </w:r>
      <w:r w:rsidDel="00000000" w:rsidR="00000000" w:rsidRPr="00000000">
        <w:rPr>
          <w:rtl w:val="0"/>
        </w:rPr>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any of the following:</w:t>
      </w:r>
      <w:r w:rsidDel="00000000" w:rsidR="00000000" w:rsidRPr="00000000">
        <w:rPr>
          <w:rtl w:val="0"/>
        </w:rPr>
      </w:r>
    </w:p>
    <w:p w:rsidR="00000000" w:rsidDel="00000000" w:rsidP="00000000" w:rsidRDefault="00000000" w:rsidRPr="00000000" w14:paraId="0000003D">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pPr>
      <w:r w:rsidDel="00000000" w:rsidR="00000000" w:rsidRPr="00000000">
        <w:rPr>
          <w:rFonts w:ascii="Arial" w:cs="Arial" w:eastAsia="Arial" w:hAnsi="Arial"/>
          <w:color w:val="000000"/>
          <w:sz w:val="24"/>
          <w:szCs w:val="24"/>
          <w:rtl w:val="0"/>
        </w:rPr>
        <w:t xml:space="preserve">commencement of any litigation against an FDE Group entity with respect to financial indebtedness greater than £5m or obligations under a service contract with a total contract value greater than £5m; </w:t>
      </w:r>
      <w:r w:rsidDel="00000000" w:rsidR="00000000" w:rsidRPr="00000000">
        <w:rPr>
          <w:rtl w:val="0"/>
        </w:rPr>
      </w:r>
    </w:p>
    <w:p w:rsidR="00000000" w:rsidDel="00000000" w:rsidP="00000000" w:rsidRDefault="00000000" w:rsidRPr="00000000" w14:paraId="0000003E">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pPr>
      <w:r w:rsidDel="00000000" w:rsidR="00000000" w:rsidRPr="00000000">
        <w:rPr>
          <w:rFonts w:ascii="Arial" w:cs="Arial" w:eastAsia="Arial" w:hAnsi="Arial"/>
          <w:color w:val="000000"/>
          <w:sz w:val="24"/>
          <w:szCs w:val="24"/>
          <w:rtl w:val="0"/>
        </w:rPr>
        <w:t xml:space="preserve">non-payment by an FDE Group entity of any financial indebtedness;</w:t>
      </w:r>
      <w:r w:rsidDel="00000000" w:rsidR="00000000" w:rsidRPr="00000000">
        <w:rPr>
          <w:rtl w:val="0"/>
        </w:rPr>
      </w:r>
    </w:p>
    <w:p w:rsidR="00000000" w:rsidDel="00000000" w:rsidP="00000000" w:rsidRDefault="00000000" w:rsidRPr="00000000" w14:paraId="0000003F">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pPr>
      <w:r w:rsidDel="00000000" w:rsidR="00000000" w:rsidRPr="00000000">
        <w:rPr>
          <w:rFonts w:ascii="Arial" w:cs="Arial" w:eastAsia="Arial" w:hAnsi="Arial"/>
          <w:color w:val="000000"/>
          <w:sz w:val="24"/>
          <w:szCs w:val="24"/>
          <w:rtl w:val="0"/>
        </w:rPr>
        <w:t xml:space="preserve">any financial indebtedness of an FDE Group entity becoming due as a result of an event of default;</w:t>
      </w:r>
      <w:r w:rsidDel="00000000" w:rsidR="00000000" w:rsidRPr="00000000">
        <w:rPr>
          <w:rtl w:val="0"/>
        </w:rPr>
      </w:r>
    </w:p>
    <w:p w:rsidR="00000000" w:rsidDel="00000000" w:rsidP="00000000" w:rsidRDefault="00000000" w:rsidRPr="00000000" w14:paraId="00000040">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pPr>
      <w:r w:rsidDel="00000000" w:rsidR="00000000" w:rsidRPr="00000000">
        <w:rPr>
          <w:rFonts w:ascii="Arial" w:cs="Arial" w:eastAsia="Arial" w:hAnsi="Arial"/>
          <w:color w:val="000000"/>
          <w:sz w:val="24"/>
          <w:szCs w:val="24"/>
          <w:rtl w:val="0"/>
        </w:rPr>
        <w:t xml:space="preserve">the cancellation or suspension of any financial indebtedness in respect of an FDE Group entity; or</w:t>
      </w:r>
      <w:r w:rsidDel="00000000" w:rsidR="00000000" w:rsidRPr="00000000">
        <w:rPr>
          <w:rtl w:val="0"/>
        </w:rPr>
      </w:r>
    </w:p>
    <w:p w:rsidR="00000000" w:rsidDel="00000000" w:rsidP="00000000" w:rsidRDefault="00000000" w:rsidRPr="00000000" w14:paraId="00000041">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pPr>
      <w:r w:rsidDel="00000000" w:rsidR="00000000" w:rsidRPr="00000000">
        <w:rPr>
          <w:rFonts w:ascii="Arial" w:cs="Arial" w:eastAsia="Arial" w:hAnsi="Arial"/>
          <w:color w:val="000000"/>
          <w:sz w:val="24"/>
          <w:szCs w:val="24"/>
          <w:rtl w:val="0"/>
        </w:rPr>
        <w:t xml:space="preserve">the external auditor of an FDE Group entity expressing a qualified opinion on, or including an emphasis of matter in, its opinion on the statutory accounts of that FDE entity;</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985"/>
        </w:tabs>
        <w:spacing w:after="120" w:before="120" w:lineRule="auto"/>
        <w:ind w:left="246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4">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rFonts w:ascii="Arial" w:cs="Arial" w:eastAsia="Arial" w:hAnsi="Arial"/>
          <w:b w:val="1"/>
          <w:color w:val="000000"/>
          <w:sz w:val="24"/>
          <w:szCs w:val="24"/>
          <w:rtl w:val="0"/>
        </w:rPr>
        <w:t xml:space="preserve">Consequences of Financial Distress Events</w:t>
      </w:r>
      <w:r w:rsidDel="00000000" w:rsidR="00000000" w:rsidRPr="00000000">
        <w:rPr>
          <w:rtl w:val="0"/>
        </w:rPr>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rFonts w:ascii="Arial" w:cs="Arial" w:eastAsia="Arial" w:hAnsi="Arial"/>
          <w:color w:val="000000"/>
          <w:sz w:val="24"/>
          <w:szCs w:val="24"/>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r w:rsidDel="00000000" w:rsidR="00000000" w:rsidRPr="00000000">
        <w:rPr>
          <w:rtl w:val="0"/>
        </w:rPr>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rFonts w:ascii="Arial" w:cs="Arial" w:eastAsia="Arial" w:hAnsi="Arial"/>
          <w:color w:val="000000"/>
          <w:sz w:val="24"/>
          <w:szCs w:val="24"/>
          <w:rtl w:val="0"/>
        </w:rPr>
        <w:t xml:space="preserve">In the event of a late or non-payment of a Key Sub-contractor pursuant to Paragraph 3.1.5, the Relevant Authority shall not exercise any of its rights or remedies under Paragraph 4.3 without first giving the Supplier 10 Working Days to:</w:t>
      </w:r>
      <w:r w:rsidDel="00000000" w:rsidR="00000000" w:rsidRPr="00000000">
        <w:rPr>
          <w:rtl w:val="0"/>
        </w:rPr>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rectify such late or non-payment; or</w:t>
      </w:r>
      <w:r w:rsidDel="00000000" w:rsidR="00000000" w:rsidRPr="00000000">
        <w:rPr>
          <w:rtl w:val="0"/>
        </w:rPr>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r w:rsidDel="00000000" w:rsidR="00000000" w:rsidRPr="00000000">
        <w:rPr>
          <w:rtl w:val="0"/>
        </w:rPr>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rFonts w:ascii="Arial" w:cs="Arial" w:eastAsia="Arial" w:hAnsi="Arial"/>
          <w:color w:val="000000"/>
          <w:sz w:val="24"/>
          <w:szCs w:val="24"/>
          <w:rtl w:val="0"/>
        </w:rPr>
        <w:t xml:space="preserve">The Supplier shall (and shall procure that any Monitored Supplier, the Guarantor and/or any relevant Key Sub-contractor shall):</w:t>
      </w:r>
      <w:r w:rsidDel="00000000" w:rsidR="00000000" w:rsidRPr="00000000">
        <w:rPr>
          <w:rtl w:val="0"/>
        </w:rPr>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r w:rsidDel="00000000" w:rsidR="00000000" w:rsidRPr="00000000">
        <w:rPr>
          <w:rtl w:val="0"/>
        </w:rPr>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r w:rsidDel="00000000" w:rsidR="00000000" w:rsidRPr="00000000">
        <w:rPr>
          <w:rtl w:val="0"/>
        </w:rPr>
      </w:r>
    </w:p>
    <w:p w:rsidR="00000000" w:rsidDel="00000000" w:rsidP="00000000" w:rsidRDefault="00000000" w:rsidRPr="00000000" w14:paraId="0000004C">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pPr>
      <w:r w:rsidDel="00000000" w:rsidR="00000000" w:rsidRPr="00000000">
        <w:rPr>
          <w:rFonts w:ascii="Arial" w:cs="Arial" w:eastAsia="Arial" w:hAnsi="Arial"/>
          <w:color w:val="000000"/>
          <w:sz w:val="24"/>
          <w:szCs w:val="24"/>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r w:rsidDel="00000000" w:rsidR="00000000" w:rsidRPr="00000000">
        <w:rPr>
          <w:rtl w:val="0"/>
        </w:rPr>
      </w:r>
    </w:p>
    <w:p w:rsidR="00000000" w:rsidDel="00000000" w:rsidP="00000000" w:rsidRDefault="00000000" w:rsidRPr="00000000" w14:paraId="0000004D">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pPr>
      <w:r w:rsidDel="00000000" w:rsidR="00000000" w:rsidRPr="00000000">
        <w:rPr>
          <w:rFonts w:ascii="Arial" w:cs="Arial" w:eastAsia="Arial" w:hAnsi="Arial"/>
          <w:color w:val="000000"/>
          <w:sz w:val="24"/>
          <w:szCs w:val="24"/>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r w:rsidDel="00000000" w:rsidR="00000000" w:rsidRPr="00000000">
        <w:rPr>
          <w:rtl w:val="0"/>
        </w:rPr>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rFonts w:ascii="Arial" w:cs="Arial" w:eastAsia="Arial" w:hAnsi="Arial"/>
          <w:color w:val="000000"/>
          <w:sz w:val="24"/>
          <w:szCs w:val="24"/>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r w:rsidDel="00000000" w:rsidR="00000000" w:rsidRPr="00000000">
        <w:rPr>
          <w:rtl w:val="0"/>
        </w:rPr>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rFonts w:ascii="Arial" w:cs="Arial" w:eastAsia="Arial" w:hAnsi="Arial"/>
          <w:color w:val="000000"/>
          <w:sz w:val="24"/>
          <w:szCs w:val="24"/>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r w:rsidDel="00000000" w:rsidR="00000000" w:rsidRPr="00000000">
        <w:rPr>
          <w:rtl w:val="0"/>
        </w:rPr>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rFonts w:ascii="Arial" w:cs="Arial" w:eastAsia="Arial" w:hAnsi="Arial"/>
          <w:color w:val="000000"/>
          <w:sz w:val="24"/>
          <w:szCs w:val="24"/>
          <w:rtl w:val="0"/>
        </w:rPr>
        <w:t xml:space="preserve">Following approval of the Financial Distress Remediation Plan by the Relevant Authority, the Supplier shall:</w:t>
      </w:r>
      <w:r w:rsidDel="00000000" w:rsidR="00000000" w:rsidRPr="00000000">
        <w:rPr>
          <w:rtl w:val="0"/>
        </w:rPr>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on a regular basis (which shall not be less than fortnightly):</w:t>
      </w:r>
      <w:r w:rsidDel="00000000" w:rsidR="00000000" w:rsidRPr="00000000">
        <w:rPr>
          <w:rtl w:val="0"/>
        </w:rPr>
      </w:r>
    </w:p>
    <w:p w:rsidR="00000000" w:rsidDel="00000000" w:rsidP="00000000" w:rsidRDefault="00000000" w:rsidRPr="00000000" w14:paraId="00000052">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pPr>
      <w:r w:rsidDel="00000000" w:rsidR="00000000" w:rsidRPr="00000000">
        <w:rPr>
          <w:rFonts w:ascii="Arial" w:cs="Arial" w:eastAsia="Arial" w:hAnsi="Arial"/>
          <w:color w:val="000000"/>
          <w:sz w:val="24"/>
          <w:szCs w:val="24"/>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r w:rsidDel="00000000" w:rsidR="00000000" w:rsidRPr="00000000">
        <w:rPr>
          <w:rtl w:val="0"/>
        </w:rPr>
      </w:r>
    </w:p>
    <w:p w:rsidR="00000000" w:rsidDel="00000000" w:rsidP="00000000" w:rsidRDefault="00000000" w:rsidRPr="00000000" w14:paraId="00000053">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pPr>
      <w:r w:rsidDel="00000000" w:rsidR="00000000" w:rsidRPr="00000000">
        <w:rPr>
          <w:rFonts w:ascii="Arial" w:cs="Arial" w:eastAsia="Arial" w:hAnsi="Arial"/>
          <w:color w:val="000000"/>
          <w:sz w:val="24"/>
          <w:szCs w:val="24"/>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r w:rsidDel="00000000" w:rsidR="00000000" w:rsidRPr="00000000">
        <w:rPr>
          <w:rtl w:val="0"/>
        </w:rPr>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r w:rsidDel="00000000" w:rsidR="00000000" w:rsidRPr="00000000">
        <w:rPr>
          <w:rtl w:val="0"/>
        </w:rPr>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comply with the Financial Distress Remediation Plan (including any updated Financial Distress Remediation Plan) and ensure that it achieves the financial and performance requirements set out in the Financial Distress Remediation Plan.</w:t>
      </w:r>
      <w:r w:rsidDel="00000000" w:rsidR="00000000" w:rsidRPr="00000000">
        <w:rPr>
          <w:rtl w:val="0"/>
        </w:rPr>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rFonts w:ascii="Arial" w:cs="Arial" w:eastAsia="Arial" w:hAnsi="Arial"/>
          <w:color w:val="000000"/>
          <w:sz w:val="24"/>
          <w:szCs w:val="24"/>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r w:rsidDel="00000000" w:rsidR="00000000" w:rsidRPr="00000000">
        <w:rPr>
          <w:rtl w:val="0"/>
        </w:rPr>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rFonts w:ascii="Arial" w:cs="Arial" w:eastAsia="Arial" w:hAnsi="Arial"/>
          <w:color w:val="000000"/>
          <w:sz w:val="24"/>
          <w:szCs w:val="24"/>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r w:rsidDel="00000000" w:rsidR="00000000" w:rsidRPr="00000000">
        <w:rPr>
          <w:rtl w:val="0"/>
        </w:rPr>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obtaining in advance written authority from Key Sub-contractors, the Guarantor and/or Monitored Suppliers authorising the disclosure of the information to the Buyer and/or entering into confidentiality agreements which permit disclosure;</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r w:rsidDel="00000000" w:rsidR="00000000" w:rsidRPr="00000000">
        <w:rPr>
          <w:rtl w:val="0"/>
        </w:rPr>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r w:rsidDel="00000000" w:rsidR="00000000" w:rsidRPr="00000000">
        <w:rPr>
          <w:rtl w:val="0"/>
        </w:rPr>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r w:rsidDel="00000000" w:rsidR="00000000" w:rsidRPr="00000000">
        <w:rPr>
          <w:rtl w:val="0"/>
        </w:rPr>
      </w:r>
    </w:p>
    <w:p w:rsidR="00000000" w:rsidDel="00000000" w:rsidP="00000000" w:rsidRDefault="00000000" w:rsidRPr="00000000" w14:paraId="0000005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rFonts w:ascii="Arial" w:cs="Arial" w:eastAsia="Arial" w:hAnsi="Arial"/>
          <w:b w:val="1"/>
          <w:color w:val="000000"/>
          <w:sz w:val="24"/>
          <w:szCs w:val="24"/>
          <w:rtl w:val="0"/>
        </w:rPr>
        <w:t xml:space="preserve">Financial Indicators</w:t>
      </w:r>
      <w:r w:rsidDel="00000000" w:rsidR="00000000" w:rsidRPr="00000000">
        <w:rPr>
          <w:rtl w:val="0"/>
        </w:rPr>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rFonts w:ascii="Arial" w:cs="Arial" w:eastAsia="Arial" w:hAnsi="Arial"/>
          <w:color w:val="000000"/>
          <w:sz w:val="24"/>
          <w:szCs w:val="24"/>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134"/>
        </w:tabs>
        <w:spacing w:after="120" w:before="120" w:lineRule="auto"/>
        <w:ind w:left="644" w:firstLine="0"/>
        <w:rPr>
          <w:rFonts w:ascii="Arial" w:cs="Arial" w:eastAsia="Arial" w:hAnsi="Arial"/>
          <w:sz w:val="24"/>
          <w:szCs w:val="24"/>
        </w:rPr>
      </w:pPr>
      <w:r w:rsidDel="00000000" w:rsidR="00000000" w:rsidRPr="00000000">
        <w:rPr>
          <w:rtl w:val="0"/>
        </w:rPr>
      </w:r>
    </w:p>
    <w:tbl>
      <w:tblPr>
        <w:tblStyle w:val="Table2"/>
        <w:tblW w:w="90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0"/>
        <w:gridCol w:w="2685"/>
        <w:gridCol w:w="1425"/>
        <w:gridCol w:w="2655"/>
        <w:tblGridChange w:id="0">
          <w:tblGrid>
            <w:gridCol w:w="2250"/>
            <w:gridCol w:w="2685"/>
            <w:gridCol w:w="1425"/>
            <w:gridCol w:w="2655"/>
          </w:tblGrid>
        </w:tblGridChange>
      </w:tblGrid>
      <w:tr>
        <w:trPr>
          <w:cantSplit w:val="0"/>
          <w:tblHeader w:val="0"/>
        </w:trPr>
        <w:tc>
          <w:tcPr>
            <w:shd w:fill="d9d9d9" w:val="clear"/>
            <w:vAlign w:val="center"/>
          </w:tcPr>
          <w:p w:rsidR="00000000" w:rsidDel="00000000" w:rsidP="00000000" w:rsidRDefault="00000000" w:rsidRPr="00000000" w14:paraId="0000005F">
            <w:pPr>
              <w:spacing w:after="200" w:before="10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Indicator</w:t>
            </w:r>
          </w:p>
        </w:tc>
        <w:tc>
          <w:tcPr>
            <w:shd w:fill="d9d9d9" w:val="clear"/>
            <w:vAlign w:val="center"/>
          </w:tcPr>
          <w:p w:rsidR="00000000" w:rsidDel="00000000" w:rsidP="00000000" w:rsidRDefault="00000000" w:rsidRPr="00000000" w14:paraId="00000060">
            <w:pPr>
              <w:spacing w:after="200" w:before="10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Calculation</w:t>
            </w:r>
            <w:r w:rsidDel="00000000" w:rsidR="00000000" w:rsidRPr="00000000">
              <w:rPr>
                <w:rFonts w:ascii="Arial" w:cs="Arial" w:eastAsia="Arial" w:hAnsi="Arial"/>
                <w:b w:val="1"/>
                <w:sz w:val="24"/>
                <w:szCs w:val="24"/>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1">
            <w:pPr>
              <w:spacing w:after="200" w:before="10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Target Threshold</w:t>
            </w:r>
          </w:p>
        </w:tc>
        <w:tc>
          <w:tcPr>
            <w:shd w:fill="d9d9d9" w:val="clear"/>
            <w:vAlign w:val="center"/>
          </w:tcPr>
          <w:p w:rsidR="00000000" w:rsidDel="00000000" w:rsidP="00000000" w:rsidRDefault="00000000" w:rsidRPr="00000000" w14:paraId="00000062">
            <w:pPr>
              <w:spacing w:after="200" w:before="100" w:lineRule="auto"/>
              <w:jc w:val="center"/>
              <w:rPr>
                <w:rFonts w:ascii="Arial" w:cs="Arial" w:eastAsia="Arial" w:hAnsi="Arial"/>
                <w:b w:val="1"/>
                <w:sz w:val="24"/>
                <w:szCs w:val="24"/>
              </w:rPr>
            </w:pPr>
            <w:bookmarkStart w:colFirst="0" w:colLast="0" w:name="_yal70prroz9t" w:id="1"/>
            <w:bookmarkEnd w:id="1"/>
            <w:r w:rsidDel="00000000" w:rsidR="00000000" w:rsidRPr="00000000">
              <w:rPr>
                <w:rFonts w:ascii="Arial" w:cs="Arial" w:eastAsia="Arial" w:hAnsi="Arial"/>
                <w:b w:val="1"/>
                <w:sz w:val="24"/>
                <w:szCs w:val="24"/>
                <w:rtl w:val="0"/>
              </w:rPr>
              <w:t xml:space="preserve">Monitoring and Reporting Frequency </w:t>
            </w:r>
          </w:p>
        </w:tc>
      </w:tr>
      <w:tr>
        <w:trPr>
          <w:cantSplit w:val="0"/>
          <w:tblHeader w:val="0"/>
        </w:trPr>
        <w:tc>
          <w:tcP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Operating Margin</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2"/>
                <w:szCs w:val="22"/>
              </w:rPr>
            </w:pPr>
            <w:r w:rsidDel="00000000" w:rsidR="00000000" w:rsidRPr="00000000">
              <w:rPr>
                <w:rtl w:val="0"/>
              </w:rPr>
            </w:r>
          </w:p>
        </w:tc>
        <w:tc>
          <w:tcP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2"/>
                <w:szCs w:val="22"/>
              </w:rPr>
            </w:pPr>
            <w:r w:rsidDel="00000000" w:rsidR="00000000" w:rsidRPr="00000000">
              <w:rPr>
                <w:rFonts w:ascii="Arial" w:cs="Arial" w:eastAsia="Arial" w:hAnsi="Arial"/>
                <w:i w:val="1"/>
                <w:color w:val="000000"/>
                <w:sz w:val="22"/>
                <w:szCs w:val="22"/>
                <w:rtl w:val="0"/>
              </w:rPr>
              <w:t xml:space="preserve">Operating Margin = Operating Profit / Revenue</w:t>
            </w:r>
          </w:p>
        </w:tc>
        <w:tc>
          <w:tcP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2"/>
                <w:szCs w:val="22"/>
              </w:rPr>
            </w:pPr>
            <w:r w:rsidDel="00000000" w:rsidR="00000000" w:rsidRPr="00000000">
              <w:rPr>
                <w:rFonts w:ascii="Arial" w:cs="Arial" w:eastAsia="Arial" w:hAnsi="Arial"/>
                <w:i w:val="1"/>
                <w:sz w:val="22"/>
                <w:szCs w:val="22"/>
                <w:rtl w:val="0"/>
              </w:rPr>
              <w:t xml:space="preserve">&lt;5%</w:t>
            </w:r>
            <w:r w:rsidDel="00000000" w:rsidR="00000000" w:rsidRPr="00000000">
              <w:rPr>
                <w:rtl w:val="0"/>
              </w:rPr>
            </w:r>
          </w:p>
        </w:tc>
        <w:tc>
          <w:tcP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2"/>
                <w:szCs w:val="22"/>
              </w:rPr>
            </w:pPr>
            <w:r w:rsidDel="00000000" w:rsidR="00000000" w:rsidRPr="00000000">
              <w:rPr>
                <w:rFonts w:ascii="Arial" w:cs="Arial" w:eastAsia="Arial" w:hAnsi="Arial"/>
                <w:sz w:val="22"/>
                <w:szCs w:val="22"/>
                <w:rtl w:val="0"/>
              </w:rPr>
              <w:t xml:space="preserve">As per 2.3.2 of this Schedule</w:t>
            </w:r>
            <w:r w:rsidDel="00000000" w:rsidR="00000000" w:rsidRPr="00000000">
              <w:rPr>
                <w:rFonts w:ascii="Arial" w:cs="Arial" w:eastAsia="Arial" w:hAnsi="Arial"/>
                <w:i w:val="1"/>
                <w:color w:val="000000"/>
                <w:sz w:val="22"/>
                <w:szCs w:val="22"/>
                <w:rtl w:val="0"/>
              </w:rPr>
              <w:t xml:space="preserve"> </w:t>
            </w:r>
          </w:p>
        </w:tc>
      </w:tr>
      <w:tr>
        <w:trPr>
          <w:cantSplit w:val="0"/>
          <w:tblHeader w:val="0"/>
        </w:trPr>
        <w:tc>
          <w:tcP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Net Debt to EBITDA Ratio</w:t>
            </w:r>
          </w:p>
        </w:tc>
        <w:tc>
          <w:tcP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7030a0"/>
                <w:sz w:val="22"/>
                <w:szCs w:val="22"/>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2"/>
                <w:szCs w:val="22"/>
              </w:rPr>
            </w:pPr>
            <w:r w:rsidDel="00000000" w:rsidR="00000000" w:rsidRPr="00000000">
              <w:rPr>
                <w:rFonts w:ascii="Arial" w:cs="Arial" w:eastAsia="Arial" w:hAnsi="Arial"/>
                <w:i w:val="1"/>
                <w:color w:val="000000"/>
                <w:sz w:val="22"/>
                <w:szCs w:val="22"/>
                <w:rtl w:val="0"/>
              </w:rPr>
              <w:t xml:space="preserve">Net Debt to EBITDA ratio = Net Debt / EBITDA</w:t>
            </w:r>
          </w:p>
        </w:tc>
        <w:tc>
          <w:tcP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2"/>
                <w:szCs w:val="22"/>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2"/>
                <w:szCs w:val="22"/>
              </w:rPr>
            </w:pPr>
            <w:r w:rsidDel="00000000" w:rsidR="00000000" w:rsidRPr="00000000">
              <w:rPr>
                <w:rFonts w:ascii="Arial" w:cs="Arial" w:eastAsia="Arial" w:hAnsi="Arial"/>
                <w:i w:val="1"/>
                <w:sz w:val="22"/>
                <w:szCs w:val="22"/>
                <w:rtl w:val="0"/>
              </w:rPr>
              <w:t xml:space="preserve">&gt;3.5x</w:t>
            </w:r>
            <w:r w:rsidDel="00000000" w:rsidR="00000000" w:rsidRPr="00000000">
              <w:rPr>
                <w:rFonts w:ascii="Arial" w:cs="Arial" w:eastAsia="Arial" w:hAnsi="Arial"/>
                <w:i w:val="1"/>
                <w:color w:val="000000"/>
                <w:sz w:val="22"/>
                <w:szCs w:val="22"/>
                <w:rtl w:val="0"/>
              </w:rPr>
              <w:t xml:space="preserve"> </w:t>
            </w:r>
          </w:p>
        </w:tc>
        <w:tc>
          <w:tcPr>
            <w:vAlign w:val="center"/>
          </w:tcPr>
          <w:p w:rsidR="00000000" w:rsidDel="00000000" w:rsidP="00000000" w:rsidRDefault="00000000" w:rsidRPr="00000000" w14:paraId="0000006D">
            <w:pPr>
              <w:spacing w:after="200" w:before="100" w:lineRule="auto"/>
              <w:jc w:val="left"/>
              <w:rPr>
                <w:rFonts w:ascii="Arial" w:cs="Arial" w:eastAsia="Arial" w:hAnsi="Arial"/>
                <w:i w:val="1"/>
                <w:color w:val="000000"/>
                <w:sz w:val="22"/>
                <w:szCs w:val="22"/>
              </w:rPr>
            </w:pPr>
            <w:r w:rsidDel="00000000" w:rsidR="00000000" w:rsidRPr="00000000">
              <w:rPr>
                <w:rFonts w:ascii="Arial" w:cs="Arial" w:eastAsia="Arial" w:hAnsi="Arial"/>
                <w:sz w:val="22"/>
                <w:szCs w:val="22"/>
                <w:rtl w:val="0"/>
              </w:rPr>
              <w:t xml:space="preserve">As per 2.3.2 of this Schedule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Net Interest Paid Cover</w:t>
            </w:r>
          </w:p>
        </w:tc>
        <w:tc>
          <w:tcP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2"/>
                <w:szCs w:val="22"/>
              </w:rPr>
            </w:pPr>
            <w:r w:rsidDel="00000000" w:rsidR="00000000" w:rsidRPr="00000000">
              <w:rPr>
                <w:rFonts w:ascii="Arial" w:cs="Arial" w:eastAsia="Arial" w:hAnsi="Arial"/>
                <w:i w:val="1"/>
                <w:color w:val="000000"/>
                <w:sz w:val="22"/>
                <w:szCs w:val="22"/>
                <w:rtl w:val="0"/>
              </w:rPr>
              <w:t xml:space="preserve">Net Interest Paid Cover = Earnings Before Interest and Tax / Net Interest Paid</w:t>
            </w:r>
          </w:p>
        </w:tc>
        <w:tc>
          <w:tcP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2"/>
                <w:szCs w:val="22"/>
              </w:rPr>
            </w:pPr>
            <w:r w:rsidDel="00000000" w:rsidR="00000000" w:rsidRPr="00000000">
              <w:rPr>
                <w:rFonts w:ascii="Arial" w:cs="Arial" w:eastAsia="Arial" w:hAnsi="Arial"/>
                <w:i w:val="1"/>
                <w:sz w:val="22"/>
                <w:szCs w:val="22"/>
                <w:rtl w:val="0"/>
              </w:rPr>
              <w:t xml:space="preserve">&lt;2.5x</w:t>
            </w:r>
            <w:r w:rsidDel="00000000" w:rsidR="00000000" w:rsidRPr="00000000">
              <w:rPr>
                <w:rFonts w:ascii="Arial" w:cs="Arial" w:eastAsia="Arial" w:hAnsi="Arial"/>
                <w:i w:val="1"/>
                <w:color w:val="000000"/>
                <w:sz w:val="22"/>
                <w:szCs w:val="22"/>
                <w:rtl w:val="0"/>
              </w:rPr>
              <w:t xml:space="preserve"> </w:t>
            </w:r>
          </w:p>
        </w:tc>
        <w:tc>
          <w:tcPr>
            <w:vAlign w:val="center"/>
          </w:tcPr>
          <w:p w:rsidR="00000000" w:rsidDel="00000000" w:rsidP="00000000" w:rsidRDefault="00000000" w:rsidRPr="00000000" w14:paraId="00000071">
            <w:pPr>
              <w:spacing w:after="200" w:before="100" w:lineRule="auto"/>
              <w:jc w:val="left"/>
              <w:rPr>
                <w:rFonts w:ascii="Arial" w:cs="Arial" w:eastAsia="Arial" w:hAnsi="Arial"/>
                <w:i w:val="1"/>
                <w:color w:val="000000"/>
                <w:sz w:val="22"/>
                <w:szCs w:val="22"/>
              </w:rPr>
            </w:pPr>
            <w:r w:rsidDel="00000000" w:rsidR="00000000" w:rsidRPr="00000000">
              <w:rPr>
                <w:rFonts w:ascii="Arial" w:cs="Arial" w:eastAsia="Arial" w:hAnsi="Arial"/>
                <w:sz w:val="22"/>
                <w:szCs w:val="22"/>
                <w:rtl w:val="0"/>
              </w:rPr>
              <w:t xml:space="preserve">As per 2.3.2 of this Schedule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Acid Ratio</w:t>
            </w:r>
          </w:p>
        </w:tc>
        <w:tc>
          <w:tcP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2"/>
                <w:szCs w:val="22"/>
              </w:rPr>
            </w:pPr>
            <w:r w:rsidDel="00000000" w:rsidR="00000000" w:rsidRPr="00000000">
              <w:rPr>
                <w:rFonts w:ascii="Arial" w:cs="Arial" w:eastAsia="Arial" w:hAnsi="Arial"/>
                <w:i w:val="1"/>
                <w:color w:val="000000"/>
                <w:sz w:val="22"/>
                <w:szCs w:val="22"/>
                <w:rtl w:val="0"/>
              </w:rPr>
              <w:t xml:space="preserve">Acid Ratio = (Current Assets – Inventories) / Current Liabilities</w:t>
            </w:r>
          </w:p>
        </w:tc>
        <w:tc>
          <w:tcP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2"/>
                <w:szCs w:val="22"/>
              </w:rPr>
            </w:pPr>
            <w:r w:rsidDel="00000000" w:rsidR="00000000" w:rsidRPr="00000000">
              <w:rPr>
                <w:rFonts w:ascii="Arial" w:cs="Arial" w:eastAsia="Arial" w:hAnsi="Arial"/>
                <w:i w:val="1"/>
                <w:sz w:val="22"/>
                <w:szCs w:val="22"/>
                <w:rtl w:val="0"/>
              </w:rPr>
              <w:t xml:space="preserve">&lt;0.7x</w:t>
            </w:r>
            <w:r w:rsidDel="00000000" w:rsidR="00000000" w:rsidRPr="00000000">
              <w:rPr>
                <w:rFonts w:ascii="Arial" w:cs="Arial" w:eastAsia="Arial" w:hAnsi="Arial"/>
                <w:i w:val="1"/>
                <w:color w:val="000000"/>
                <w:sz w:val="22"/>
                <w:szCs w:val="22"/>
                <w:rtl w:val="0"/>
              </w:rPr>
              <w:t xml:space="preserve"> </w:t>
            </w:r>
          </w:p>
        </w:tc>
        <w:tc>
          <w:tcPr>
            <w:vAlign w:val="center"/>
          </w:tcPr>
          <w:p w:rsidR="00000000" w:rsidDel="00000000" w:rsidP="00000000" w:rsidRDefault="00000000" w:rsidRPr="00000000" w14:paraId="00000075">
            <w:pPr>
              <w:spacing w:after="200" w:before="100" w:lineRule="auto"/>
              <w:jc w:val="left"/>
              <w:rPr>
                <w:rFonts w:ascii="Arial" w:cs="Arial" w:eastAsia="Arial" w:hAnsi="Arial"/>
                <w:i w:val="1"/>
                <w:color w:val="000000"/>
                <w:sz w:val="22"/>
                <w:szCs w:val="22"/>
              </w:rPr>
            </w:pPr>
            <w:r w:rsidDel="00000000" w:rsidR="00000000" w:rsidRPr="00000000">
              <w:rPr>
                <w:rFonts w:ascii="Arial" w:cs="Arial" w:eastAsia="Arial" w:hAnsi="Arial"/>
                <w:sz w:val="22"/>
                <w:szCs w:val="22"/>
                <w:rtl w:val="0"/>
              </w:rPr>
              <w:t xml:space="preserve">As per 2.3.2 of this Schedule</w:t>
            </w:r>
            <w:r w:rsidDel="00000000" w:rsidR="00000000" w:rsidRPr="00000000">
              <w:rPr>
                <w:rtl w:val="0"/>
              </w:rPr>
            </w:r>
          </w:p>
        </w:tc>
      </w:tr>
    </w:tbl>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rFonts w:ascii="Arial" w:cs="Arial" w:eastAsia="Arial" w:hAnsi="Arial"/>
          <w:color w:val="000000"/>
          <w:sz w:val="24"/>
          <w:szCs w:val="24"/>
          <w:rtl w:val="0"/>
        </w:rPr>
        <w:t xml:space="preserve">Monitored Suppliers</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134"/>
        </w:tabs>
        <w:spacing w:after="120" w:before="120" w:lineRule="auto"/>
        <w:rPr>
          <w:rFonts w:ascii="Arial" w:cs="Arial" w:eastAsia="Arial" w:hAnsi="Arial"/>
          <w:color w:val="000000"/>
          <w:sz w:val="24"/>
          <w:szCs w:val="24"/>
        </w:rPr>
      </w:pP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w:t>
            </w:r>
          </w:p>
        </w:tc>
        <w:tc>
          <w:tcPr>
            <w:shd w:fill="d9d9d9" w:val="clea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Applicable Financial Indicators</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bookmarkStart w:colFirst="0" w:colLast="0" w:name="_vecgfvvvhie7" w:id="2"/>
            <w:bookmarkEnd w:id="2"/>
            <w:r w:rsidDel="00000000" w:rsidR="00000000" w:rsidRPr="00000000">
              <w:rPr>
                <w:rFonts w:ascii="Arial" w:cs="Arial" w:eastAsia="Arial" w:hAnsi="Arial"/>
                <w:color w:val="000000"/>
                <w:sz w:val="24"/>
                <w:szCs w:val="24"/>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[Entity 1 e.g Group Member, Sub-contractor, Relevant Parent Company etc.] </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 – Operating Margin]</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 – etc..]</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[3][4][5][6][7][8][etc..]</w:t>
            </w:r>
          </w:p>
        </w:tc>
      </w:tr>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[Entity 2 e.g Group Member, Sub-contractor, Relevant Parent Company etc.]</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 – Operating Margin]</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 – etc.]</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[3][4][5][6][7][8][etc..]</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[etc.]</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[etc.]</w:t>
            </w:r>
          </w:p>
        </w:tc>
      </w:tr>
    </w:tbl>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1134"/>
        </w:tabs>
        <w:spacing w:after="120" w:before="120" w:lineRule="auto"/>
        <w:ind w:left="360" w:hanging="1004"/>
        <w:rPr>
          <w:rFonts w:ascii="Arial" w:cs="Arial" w:eastAsia="Arial" w:hAnsi="Arial"/>
          <w:color w:val="000000"/>
        </w:rPr>
      </w:pPr>
      <w:r w:rsidDel="00000000" w:rsidR="00000000" w:rsidRPr="00000000">
        <w:rPr>
          <w:rtl w:val="0"/>
        </w:rPr>
      </w:r>
    </w:p>
    <w:p w:rsidR="00000000" w:rsidDel="00000000" w:rsidP="00000000" w:rsidRDefault="00000000" w:rsidRPr="00000000" w14:paraId="00000087">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rFonts w:ascii="Arial" w:cs="Arial" w:eastAsia="Arial" w:hAnsi="Arial"/>
          <w:b w:val="1"/>
          <w:color w:val="000000"/>
          <w:sz w:val="24"/>
          <w:szCs w:val="24"/>
          <w:rtl w:val="0"/>
        </w:rPr>
        <w:t xml:space="preserve">Termination rights</w:t>
      </w:r>
      <w:r w:rsidDel="00000000" w:rsidR="00000000" w:rsidRPr="00000000">
        <w:rPr>
          <w:rtl w:val="0"/>
        </w:rPr>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rFonts w:ascii="Arial" w:cs="Arial" w:eastAsia="Arial" w:hAnsi="Arial"/>
          <w:color w:val="000000"/>
          <w:sz w:val="24"/>
          <w:szCs w:val="24"/>
          <w:rtl w:val="0"/>
        </w:rPr>
        <w:t xml:space="preserve">The Relevant Authority shall be entitled to terminate the Contract if:</w:t>
      </w:r>
      <w:r w:rsidDel="00000000" w:rsidR="00000000" w:rsidRPr="00000000">
        <w:rPr>
          <w:rtl w:val="0"/>
        </w:rPr>
      </w:r>
    </w:p>
    <w:p w:rsidR="00000000" w:rsidDel="00000000" w:rsidP="00000000" w:rsidRDefault="00000000" w:rsidRPr="00000000" w14:paraId="0000008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2.3.3;</w:t>
      </w:r>
      <w:r w:rsidDel="00000000" w:rsidR="00000000" w:rsidRPr="00000000">
        <w:rPr>
          <w:rtl w:val="0"/>
        </w:rPr>
      </w:r>
    </w:p>
    <w:p w:rsidR="00000000" w:rsidDel="00000000" w:rsidP="00000000" w:rsidRDefault="00000000" w:rsidRPr="00000000" w14:paraId="0000008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Parties fail to agree a Financial Distress Remediation Plan (or any updated Financial Distress Remediation Plan) in accordance with Paragraphs 4.3 to 4.5; and/or</w:t>
      </w:r>
      <w:r w:rsidDel="00000000" w:rsidR="00000000" w:rsidRPr="00000000">
        <w:rPr>
          <w:rtl w:val="0"/>
        </w:rPr>
      </w:r>
    </w:p>
    <w:p w:rsidR="00000000" w:rsidDel="00000000" w:rsidP="00000000" w:rsidRDefault="00000000" w:rsidRPr="00000000" w14:paraId="0000008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Supplier fails to comply with the terms of the Financial Distress Remediation Plan (or any updated Financial Distress Remediation Plan) in accordance with Paragraph 4.6.3,</w:t>
      </w: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8D">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rFonts w:ascii="Arial" w:cs="Arial" w:eastAsia="Arial" w:hAnsi="Arial"/>
          <w:b w:val="1"/>
          <w:color w:val="000000"/>
          <w:sz w:val="24"/>
          <w:szCs w:val="24"/>
          <w:rtl w:val="0"/>
        </w:rPr>
        <w:t xml:space="preserve">Primacy of Credit Ratings</w:t>
      </w:r>
      <w:r w:rsidDel="00000000" w:rsidR="00000000" w:rsidRPr="00000000">
        <w:rPr>
          <w:rtl w:val="0"/>
        </w:rPr>
      </w:r>
    </w:p>
    <w:p w:rsidR="00000000" w:rsidDel="00000000" w:rsidP="00000000" w:rsidRDefault="00000000" w:rsidRPr="00000000" w14:paraId="0000008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rFonts w:ascii="Arial" w:cs="Arial" w:eastAsia="Arial" w:hAnsi="Arial"/>
          <w:color w:val="000000"/>
          <w:sz w:val="24"/>
          <w:szCs w:val="24"/>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r w:rsidDel="00000000" w:rsidR="00000000" w:rsidRPr="00000000">
        <w:rPr>
          <w:rtl w:val="0"/>
        </w:rPr>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r w:rsidDel="00000000" w:rsidR="00000000" w:rsidRPr="00000000">
        <w:rPr>
          <w:rtl w:val="0"/>
        </w:rPr>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w:t>
      </w:r>
      <w:r w:rsidDel="00000000" w:rsidR="00000000" w:rsidRPr="00000000">
        <w:rPr>
          <w:rtl w:val="0"/>
        </w:rPr>
      </w:r>
    </w:p>
    <w:p w:rsidR="00000000" w:rsidDel="00000000" w:rsidP="00000000" w:rsidRDefault="00000000" w:rsidRPr="00000000" w14:paraId="00000091">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rFonts w:ascii="Arial" w:cs="Arial" w:eastAsia="Arial" w:hAnsi="Arial"/>
          <w:b w:val="1"/>
          <w:color w:val="000000"/>
          <w:sz w:val="24"/>
          <w:szCs w:val="24"/>
          <w:rtl w:val="0"/>
        </w:rPr>
        <w:t xml:space="preserve">Board confirmation</w:t>
      </w:r>
      <w:r w:rsidDel="00000000" w:rsidR="00000000" w:rsidRPr="00000000">
        <w:rPr>
          <w:rtl w:val="0"/>
        </w:rPr>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rFonts w:ascii="Arial" w:cs="Arial" w:eastAsia="Arial" w:hAnsi="Arial"/>
          <w:color w:val="000000"/>
          <w:sz w:val="24"/>
          <w:szCs w:val="24"/>
          <w:rtl w:val="0"/>
        </w:rPr>
        <w:t xml:space="preserve">If the Contract has been specified as a Critical Service Contract under Paragraph 1.1 of Call-Off Schedule 24 (Corporate Resolution Planning)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r w:rsidDel="00000000" w:rsidR="00000000" w:rsidRPr="00000000">
        <w:rPr>
          <w:rtl w:val="0"/>
        </w:rPr>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that a Financial Distress Event has occurred since the later of the Effective Date or the previous Board Confirmation or is subsisting; or</w:t>
      </w:r>
      <w:r w:rsidDel="00000000" w:rsidR="00000000" w:rsidRPr="00000000">
        <w:rPr>
          <w:rtl w:val="0"/>
        </w:rPr>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09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rFonts w:ascii="Arial" w:cs="Arial" w:eastAsia="Arial" w:hAnsi="Arial"/>
          <w:color w:val="000000"/>
          <w:sz w:val="24"/>
          <w:szCs w:val="24"/>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r w:rsidDel="00000000" w:rsidR="00000000" w:rsidRPr="00000000">
        <w:rPr>
          <w:rtl w:val="0"/>
        </w:rPr>
      </w:r>
    </w:p>
    <w:p w:rsidR="00000000" w:rsidDel="00000000" w:rsidP="00000000" w:rsidRDefault="00000000" w:rsidRPr="00000000" w14:paraId="0000009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rFonts w:ascii="Arial" w:cs="Arial" w:eastAsia="Arial" w:hAnsi="Arial"/>
          <w:color w:val="000000"/>
          <w:sz w:val="24"/>
          <w:szCs w:val="24"/>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r w:rsidDel="00000000" w:rsidR="00000000" w:rsidRPr="00000000">
        <w:rPr>
          <w:rtl w:val="0"/>
        </w:rPr>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rFonts w:ascii="Arial" w:cs="Arial" w:eastAsia="Arial" w:hAnsi="Arial"/>
          <w:color w:val="000000"/>
          <w:sz w:val="24"/>
          <w:szCs w:val="24"/>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b w:val="1"/>
          <w:smallCaps w:val="1"/>
          <w:color w:val="000000"/>
        </w:rPr>
      </w:pPr>
      <w:r w:rsidDel="00000000" w:rsidR="00000000" w:rsidRPr="00000000">
        <w:rPr>
          <w:rtl w:val="0"/>
        </w:rPr>
      </w:r>
    </w:p>
    <w:p w:rsidR="00000000" w:rsidDel="00000000" w:rsidP="00000000" w:rsidRDefault="00000000" w:rsidRPr="00000000" w14:paraId="00000099">
      <w:pPr>
        <w:spacing w:after="200" w:line="276" w:lineRule="auto"/>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9A">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Dun &amp; Bradstreet </w:t>
      </w:r>
      <w:r w:rsidDel="00000000" w:rsidR="00000000" w:rsidRPr="00000000">
        <w:rPr>
          <w:rtl w:val="0"/>
        </w:rPr>
      </w:r>
    </w:p>
    <w:p w:rsidR="00000000" w:rsidDel="00000000" w:rsidP="00000000" w:rsidRDefault="00000000" w:rsidRPr="00000000" w14:paraId="0000009B">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C">
      <w:pPr>
        <w:spacing w:after="200" w:line="276"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300" w:before="100" w:lineRule="auto"/>
        <w:rPr>
          <w:rFonts w:ascii="Arial" w:cs="Arial" w:eastAsia="Arial" w:hAnsi="Arial"/>
          <w:b w:val="1"/>
          <w:smallCaps w:val="1"/>
          <w:color w:val="000000"/>
          <w:sz w:val="24"/>
          <w:szCs w:val="24"/>
        </w:rPr>
      </w:pPr>
      <w:bookmarkStart w:colFirst="0" w:colLast="0" w:name="_ola70eyhyupb" w:id="3"/>
      <w:bookmarkEnd w:id="3"/>
      <w:r w:rsidDel="00000000" w:rsidR="00000000" w:rsidRPr="00000000">
        <w:rPr>
          <w:rFonts w:ascii="Arial" w:cs="Arial" w:eastAsia="Arial" w:hAnsi="Arial"/>
          <w:b w:val="1"/>
          <w:color w:val="000000"/>
          <w:sz w:val="24"/>
          <w:szCs w:val="24"/>
          <w:rtl w:val="0"/>
        </w:rPr>
        <w:t xml:space="preserve">Annex 2</w:t>
      </w:r>
      <w:r w:rsidDel="00000000" w:rsidR="00000000" w:rsidRPr="00000000">
        <w:rPr>
          <w:rFonts w:ascii="Arial" w:cs="Arial" w:eastAsia="Arial" w:hAnsi="Arial"/>
          <w:b w:val="1"/>
          <w:smallCaps w:val="1"/>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Credit Ratings and Credit Rating Thresholds</w:t>
      </w:r>
      <w:r w:rsidDel="00000000" w:rsidR="00000000" w:rsidRPr="00000000">
        <w:rPr>
          <w:rtl w:val="0"/>
        </w:rPr>
      </w:r>
    </w:p>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9E">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9F">
            <w:pPr>
              <w:keepNext w:val="1"/>
              <w:pBdr>
                <w:top w:space="0" w:sz="0" w:val="nil"/>
                <w:left w:space="0" w:sz="0" w:val="nil"/>
                <w:bottom w:space="0" w:sz="0" w:val="nil"/>
                <w:right w:space="0" w:sz="0" w:val="nil"/>
                <w:between w:space="0" w:sz="0" w:val="nil"/>
              </w:pBdr>
              <w:spacing w:after="0" w:before="20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w:t>
            </w:r>
          </w:p>
          <w:p w:rsidR="00000000" w:rsidDel="00000000" w:rsidP="00000000" w:rsidRDefault="00000000" w:rsidRPr="00000000" w14:paraId="000000A0">
            <w:pPr>
              <w:keepNext w:val="1"/>
              <w:pBdr>
                <w:top w:space="0" w:sz="0" w:val="nil"/>
                <w:left w:space="0" w:sz="0" w:val="nil"/>
                <w:bottom w:space="0" w:sz="0" w:val="nil"/>
                <w:right w:space="0" w:sz="0" w:val="nil"/>
                <w:between w:space="0" w:sz="0" w:val="nil"/>
              </w:pBdr>
              <w:spacing w:after="20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(long term)</w:t>
            </w:r>
          </w:p>
        </w:tc>
      </w:tr>
      <w:tr>
        <w:trPr>
          <w:cantSplit w:val="0"/>
          <w:tblHeader w:val="0"/>
        </w:trPr>
        <w:tc>
          <w:tcPr>
            <w:shd w:fill="ffffff" w:val="clear"/>
          </w:tcPr>
          <w:p w:rsidR="00000000" w:rsidDel="00000000" w:rsidP="00000000" w:rsidRDefault="00000000" w:rsidRPr="00000000" w14:paraId="000000A1">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shd w:fill="ffffff" w:val="clear"/>
          </w:tcPr>
          <w:p w:rsidR="00000000" w:rsidDel="00000000" w:rsidP="00000000" w:rsidRDefault="00000000" w:rsidRPr="00000000" w14:paraId="000000A2">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30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A3">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Guarantor</w:t>
            </w:r>
          </w:p>
        </w:tc>
        <w:tc>
          <w:tcPr>
            <w:shd w:fill="ffffff" w:val="clear"/>
          </w:tcPr>
          <w:p w:rsidR="00000000" w:rsidDel="00000000" w:rsidP="00000000" w:rsidRDefault="00000000" w:rsidRPr="00000000" w14:paraId="000000A4">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30</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A5">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A6">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30</w:t>
            </w:r>
            <w:r w:rsidDel="00000000" w:rsidR="00000000" w:rsidRPr="00000000">
              <w:rPr>
                <w:rtl w:val="0"/>
              </w:rPr>
            </w:r>
          </w:p>
        </w:tc>
      </w:tr>
    </w:tbl>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8">
      <w:pPr>
        <w:spacing w:after="200" w:line="276"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200" w:before="100" w:lineRule="auto"/>
        <w:rPr>
          <w:rFonts w:ascii="Arial" w:cs="Arial" w:eastAsia="Arial" w:hAnsi="Arial"/>
          <w:b w:val="1"/>
          <w:i w:val="1"/>
          <w:color w:val="000000"/>
          <w:sz w:val="24"/>
          <w:szCs w:val="24"/>
        </w:rPr>
      </w:pPr>
      <w:r w:rsidDel="00000000" w:rsidR="00000000" w:rsidRPr="00000000">
        <w:rPr>
          <w:rFonts w:ascii="Arial" w:cs="Arial" w:eastAsia="Arial" w:hAnsi="Arial"/>
          <w:b w:val="1"/>
          <w:color w:val="000000"/>
          <w:sz w:val="24"/>
          <w:szCs w:val="24"/>
          <w:rtl w:val="0"/>
        </w:rPr>
        <w:t xml:space="preserve">Annex 3: Calculation methodology for Financial Indicators</w:t>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General methodology</w:t>
      </w:r>
    </w:p>
    <w:p w:rsidR="00000000" w:rsidDel="00000000" w:rsidP="00000000" w:rsidRDefault="00000000" w:rsidRPr="00000000" w14:paraId="000000AC">
      <w:pPr>
        <w:numPr>
          <w:ilvl w:val="0"/>
          <w:numId w:val="2"/>
        </w:numPr>
        <w:pBdr>
          <w:top w:space="0" w:sz="0" w:val="nil"/>
          <w:left w:space="0" w:sz="0" w:val="nil"/>
          <w:bottom w:space="0" w:sz="0" w:val="nil"/>
          <w:right w:space="0" w:sz="0" w:val="nil"/>
          <w:between w:space="0" w:sz="0" w:val="nil"/>
        </w:pBdr>
        <w:spacing w:after="200" w:before="100" w:lineRule="auto"/>
        <w:ind w:left="720" w:hanging="720"/>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Terminology</w:t>
      </w:r>
      <w:r w:rsidDel="00000000" w:rsidR="00000000" w:rsidRPr="00000000">
        <w:rPr>
          <w:rFonts w:ascii="Arial" w:cs="Arial" w:eastAsia="Arial" w:hAnsi="Arial"/>
          <w:color w:val="000000"/>
          <w:sz w:val="24"/>
          <w:szCs w:val="24"/>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AD">
      <w:pPr>
        <w:numPr>
          <w:ilvl w:val="0"/>
          <w:numId w:val="2"/>
        </w:numPr>
        <w:pBdr>
          <w:top w:space="0" w:sz="0" w:val="nil"/>
          <w:left w:space="0" w:sz="0" w:val="nil"/>
          <w:bottom w:space="0" w:sz="0" w:val="nil"/>
          <w:right w:space="0" w:sz="0" w:val="nil"/>
          <w:between w:space="0" w:sz="0" w:val="nil"/>
        </w:pBdr>
        <w:spacing w:after="200" w:before="100" w:lineRule="auto"/>
        <w:ind w:left="720" w:hanging="720"/>
        <w:rPr>
          <w:rFonts w:ascii="Arial" w:cs="Arial" w:eastAsia="Arial" w:hAnsi="Arial"/>
          <w:color w:val="000000"/>
          <w:sz w:val="24"/>
          <w:szCs w:val="24"/>
        </w:rPr>
      </w:pPr>
      <w:bookmarkStart w:colFirst="0" w:colLast="0" w:name="_1yngeknu5z6l" w:id="4"/>
      <w:bookmarkEnd w:id="4"/>
      <w:r w:rsidDel="00000000" w:rsidR="00000000" w:rsidRPr="00000000">
        <w:rPr>
          <w:rFonts w:ascii="Arial" w:cs="Arial" w:eastAsia="Arial" w:hAnsi="Arial"/>
          <w:b w:val="1"/>
          <w:i w:val="1"/>
          <w:color w:val="000000"/>
          <w:sz w:val="24"/>
          <w:szCs w:val="24"/>
          <w:rtl w:val="0"/>
        </w:rPr>
        <w:t xml:space="preserve">Groups</w:t>
      </w:r>
      <w:r w:rsidDel="00000000" w:rsidR="00000000" w:rsidRPr="00000000">
        <w:rPr>
          <w:rFonts w:ascii="Arial" w:cs="Arial" w:eastAsia="Arial" w:hAnsi="Arial"/>
          <w:color w:val="000000"/>
          <w:sz w:val="24"/>
          <w:szCs w:val="24"/>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AE">
      <w:pPr>
        <w:numPr>
          <w:ilvl w:val="0"/>
          <w:numId w:val="2"/>
        </w:numPr>
        <w:pBdr>
          <w:top w:space="0" w:sz="0" w:val="nil"/>
          <w:left w:space="0" w:sz="0" w:val="nil"/>
          <w:bottom w:space="0" w:sz="0" w:val="nil"/>
          <w:right w:space="0" w:sz="0" w:val="nil"/>
          <w:between w:space="0" w:sz="0" w:val="nil"/>
        </w:pBdr>
        <w:spacing w:after="200" w:before="100" w:lineRule="auto"/>
        <w:ind w:left="720" w:hanging="720"/>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Foreign currency conversion</w:t>
      </w:r>
      <w:r w:rsidDel="00000000" w:rsidR="00000000" w:rsidRPr="00000000">
        <w:rPr>
          <w:rFonts w:ascii="Arial" w:cs="Arial" w:eastAsia="Arial" w:hAnsi="Arial"/>
          <w:color w:val="000000"/>
          <w:sz w:val="24"/>
          <w:szCs w:val="24"/>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AF">
      <w:pPr>
        <w:numPr>
          <w:ilvl w:val="0"/>
          <w:numId w:val="2"/>
        </w:numPr>
        <w:pBdr>
          <w:top w:space="0" w:sz="0" w:val="nil"/>
          <w:left w:space="0" w:sz="0" w:val="nil"/>
          <w:bottom w:space="0" w:sz="0" w:val="nil"/>
          <w:right w:space="0" w:sz="0" w:val="nil"/>
          <w:between w:space="0" w:sz="0" w:val="nil"/>
        </w:pBdr>
        <w:spacing w:after="200" w:before="100" w:lineRule="auto"/>
        <w:ind w:left="720" w:hanging="720"/>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Treatment of non-underlying items</w:t>
      </w:r>
      <w:r w:rsidDel="00000000" w:rsidR="00000000" w:rsidRPr="00000000">
        <w:rPr>
          <w:rFonts w:ascii="Arial" w:cs="Arial" w:eastAsia="Arial" w:hAnsi="Arial"/>
          <w:color w:val="000000"/>
          <w:sz w:val="24"/>
          <w:szCs w:val="24"/>
          <w:rtl w:val="0"/>
        </w:rPr>
        <w:t xml:space="preserve">: Financial Indicators should be based on the figures in the financial statements before adjusting for non-underlying items.</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200" w:before="100" w:lineRule="auto"/>
        <w:ind w:left="720" w:hanging="720"/>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Specific Methodology</w:t>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Methodology</w:t>
            </w:r>
          </w:p>
        </w:tc>
      </w:tr>
      <w:tr>
        <w:trPr>
          <w:cantSplit w:val="0"/>
          <w:tblHeader w:val="0"/>
        </w:trPr>
        <w:tc>
          <w:tcPr>
            <w:vAlign w:val="center"/>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Margin</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Figures for Operating Profit and Revenue should exclude the entity’s share of the results of any joint ventures or Associates.</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Free Cash Flow to Net Debt Ratio</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to EBITDA Ratio</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Free Cash Flow</w:t>
            </w:r>
            <w:r w:rsidDel="00000000" w:rsidR="00000000" w:rsidRPr="00000000">
              <w:rPr>
                <w:rFonts w:ascii="Arial" w:cs="Arial" w:eastAsia="Arial" w:hAnsi="Arial"/>
                <w:i w:val="1"/>
                <w:color w:val="000000"/>
                <w:sz w:val="24"/>
                <w:szCs w:val="24"/>
                <w:rtl w:val="0"/>
              </w:rPr>
              <w:t xml:space="preserve">” = Net Cash Flow from Operating Activities – Capital Expenditure</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Capital Expenditure</w:t>
            </w:r>
            <w:r w:rsidDel="00000000" w:rsidR="00000000" w:rsidRPr="00000000">
              <w:rPr>
                <w:rFonts w:ascii="Arial" w:cs="Arial" w:eastAsia="Arial" w:hAnsi="Arial"/>
                <w:i w:val="1"/>
                <w:color w:val="000000"/>
                <w:sz w:val="24"/>
                <w:szCs w:val="24"/>
                <w:rtl w:val="0"/>
              </w:rPr>
              <w:t xml:space="preserve">” = Purchase of property, plant &amp; equipment + purchase of intangible assets</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Cash Flow from Operating Activities</w:t>
            </w:r>
            <w:r w:rsidDel="00000000" w:rsidR="00000000" w:rsidRPr="00000000">
              <w:rPr>
                <w:rFonts w:ascii="Arial" w:cs="Arial" w:eastAsia="Arial" w:hAnsi="Arial"/>
                <w:color w:val="000000"/>
                <w:sz w:val="24"/>
                <w:szCs w:val="24"/>
                <w:rtl w:val="0"/>
              </w:rPr>
              <w:t xml:space="preserve">: This should be stated after deduction of interest and tax paid.</w:t>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Capital expenditure</w:t>
            </w:r>
            <w:r w:rsidDel="00000000" w:rsidR="00000000" w:rsidRPr="00000000">
              <w:rPr>
                <w:rFonts w:ascii="Arial" w:cs="Arial" w:eastAsia="Arial" w:hAnsi="Arial"/>
                <w:color w:val="000000"/>
                <w:sz w:val="24"/>
                <w:szCs w:val="24"/>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 </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bookmarkStart w:colFirst="0" w:colLast="0" w:name="_6fupysx1mgej" w:id="5"/>
            <w:bookmarkEnd w:id="5"/>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color w:val="000000"/>
                <w:sz w:val="24"/>
                <w:szCs w:val="24"/>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p>
        </w:tc>
        <w:tc>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Pension Deficit</w:t>
            </w:r>
            <w:r w:rsidDel="00000000" w:rsidR="00000000" w:rsidRPr="00000000">
              <w:rPr>
                <w:rFonts w:ascii="Arial" w:cs="Arial" w:eastAsia="Arial" w:hAnsi="Arial"/>
                <w:i w:val="1"/>
                <w:color w:val="000000"/>
                <w:sz w:val="24"/>
                <w:szCs w:val="24"/>
                <w:rtl w:val="0"/>
              </w:rPr>
              <w:t xml:space="preserve">” = Retirement Benefit Obligations – Retirement Benefit Assets</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color w:val="000000"/>
                <w:sz w:val="24"/>
                <w:szCs w:val="24"/>
                <w:rtl w:val="0"/>
              </w:rPr>
              <w:t xml:space="preserve">not</w:t>
            </w:r>
            <w:r w:rsidDel="00000000" w:rsidR="00000000" w:rsidRPr="00000000">
              <w:rPr>
                <w:rFonts w:ascii="Arial" w:cs="Arial" w:eastAsia="Arial" w:hAnsi="Arial"/>
                <w:color w:val="000000"/>
                <w:sz w:val="24"/>
                <w:szCs w:val="24"/>
                <w:rtl w:val="0"/>
              </w:rPr>
              <w:t xml:space="preserve"> non-designated hedges). Borrowings should also include balances owed to other group members.</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Pension Deficit</w:t>
            </w:r>
            <w:r w:rsidDel="00000000" w:rsidR="00000000" w:rsidRPr="00000000">
              <w:rPr>
                <w:rFonts w:ascii="Arial" w:cs="Arial" w:eastAsia="Arial" w:hAnsi="Arial"/>
                <w:color w:val="000000"/>
                <w:sz w:val="24"/>
                <w:szCs w:val="24"/>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 Net Pension Deficit’ is negative, the relevant Financial Target Threshold should be treated as having been met.</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bookmarkStart w:colFirst="0" w:colLast="0" w:name="_i1uey1ziczhj" w:id="6"/>
            <w:bookmarkEnd w:id="6"/>
            <w:r w:rsidDel="00000000" w:rsidR="00000000" w:rsidRPr="00000000">
              <w:rPr>
                <w:rFonts w:ascii="Arial" w:cs="Arial" w:eastAsia="Arial" w:hAnsi="Arial"/>
                <w:color w:val="000000"/>
                <w:sz w:val="24"/>
                <w:szCs w:val="24"/>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p>
        </w:tc>
        <w:tc>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Earnings Before Interest and Tax</w:t>
            </w:r>
            <w:r w:rsidDel="00000000" w:rsidR="00000000" w:rsidRPr="00000000">
              <w:rPr>
                <w:rFonts w:ascii="Arial" w:cs="Arial" w:eastAsia="Arial" w:hAnsi="Arial"/>
                <w:i w:val="1"/>
                <w:color w:val="000000"/>
                <w:sz w:val="24"/>
                <w:szCs w:val="24"/>
                <w:rtl w:val="0"/>
              </w:rPr>
              <w:t xml:space="preserve">” = Operating profit</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Interest Paid</w:t>
            </w:r>
            <w:r w:rsidDel="00000000" w:rsidR="00000000" w:rsidRPr="00000000">
              <w:rPr>
                <w:rFonts w:ascii="Arial" w:cs="Arial" w:eastAsia="Arial" w:hAnsi="Arial"/>
                <w:i w:val="1"/>
                <w:color w:val="000000"/>
                <w:sz w:val="24"/>
                <w:szCs w:val="24"/>
                <w:rtl w:val="0"/>
              </w:rPr>
              <w:t xml:space="preserve">” = Interest paid – Interest received</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Interest received and interest paid should be shown on the face of the Cash Flow statement.</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p>
        </w:tc>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Exposure Ratio</w:t>
            </w:r>
          </w:p>
        </w:tc>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Group Exposure</w:t>
            </w:r>
            <w:r w:rsidDel="00000000" w:rsidR="00000000" w:rsidRPr="00000000">
              <w:rPr>
                <w:rFonts w:ascii="Arial" w:cs="Arial" w:eastAsia="Arial" w:hAnsi="Arial"/>
                <w:i w:val="1"/>
                <w:color w:val="000000"/>
                <w:sz w:val="24"/>
                <w:szCs w:val="24"/>
                <w:rtl w:val="0"/>
              </w:rPr>
              <w:t xml:space="preserve">” = Balances owed by Group Undertakings + Contingent liabilities assumed in support of Group Undertakings</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200" w:before="10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Gross Assets</w:t>
            </w:r>
            <w:r w:rsidDel="00000000" w:rsidR="00000000" w:rsidRPr="00000000">
              <w:rPr>
                <w:rFonts w:ascii="Arial" w:cs="Arial" w:eastAsia="Arial" w:hAnsi="Arial"/>
                <w:i w:val="1"/>
                <w:color w:val="000000"/>
                <w:sz w:val="24"/>
                <w:szCs w:val="24"/>
                <w:rtl w:val="0"/>
              </w:rPr>
              <w:t xml:space="preserve">” = Fixed Assets + Current Assets</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Group Exposure</w:t>
            </w:r>
            <w:r w:rsidDel="00000000" w:rsidR="00000000" w:rsidRPr="00000000">
              <w:rPr>
                <w:rFonts w:ascii="Arial" w:cs="Arial" w:eastAsia="Arial" w:hAnsi="Arial"/>
                <w:color w:val="000000"/>
                <w:sz w:val="24"/>
                <w:szCs w:val="24"/>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Gross Assets</w:t>
            </w:r>
            <w:r w:rsidDel="00000000" w:rsidR="00000000" w:rsidRPr="00000000">
              <w:rPr>
                <w:rFonts w:ascii="Arial" w:cs="Arial" w:eastAsia="Arial" w:hAnsi="Arial"/>
                <w:color w:val="000000"/>
                <w:sz w:val="24"/>
                <w:szCs w:val="24"/>
                <w:rtl w:val="0"/>
              </w:rPr>
              <w:t xml:space="preserve">: Both Fixed assets and Current assets are shown on the face of the Balance Sheet</w:t>
            </w:r>
          </w:p>
        </w:tc>
      </w:tr>
    </w:tbl>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E">
      <w:pPr>
        <w:spacing w:after="200" w:line="276"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300" w:before="100" w:lineRule="auto"/>
        <w:rPr>
          <w:rFonts w:ascii="Arial" w:cs="Arial" w:eastAsia="Arial" w:hAnsi="Arial"/>
          <w:b w:val="1"/>
          <w:smallCaps w:val="1"/>
          <w:color w:val="000000"/>
          <w:sz w:val="24"/>
          <w:szCs w:val="24"/>
        </w:rPr>
      </w:pPr>
      <w:bookmarkStart w:colFirst="0" w:colLast="0" w:name="_t4kvy9bsu05z" w:id="7"/>
      <w:bookmarkEnd w:id="7"/>
      <w:r w:rsidDel="00000000" w:rsidR="00000000" w:rsidRPr="00000000">
        <w:rPr>
          <w:rFonts w:ascii="Arial" w:cs="Arial" w:eastAsia="Arial" w:hAnsi="Arial"/>
          <w:b w:val="1"/>
          <w:smallCaps w:val="1"/>
          <w:color w:val="000000"/>
          <w:sz w:val="24"/>
          <w:szCs w:val="24"/>
          <w:rtl w:val="0"/>
        </w:rPr>
        <w:t xml:space="preserve">Annex 4: Board Confirmation</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Name:</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200" w:before="10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Reference Number:</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200" w:before="100" w:lineRule="auto"/>
        <w:ind w:left="720" w:firstLine="0"/>
        <w:rPr>
          <w:rFonts w:ascii="Arial" w:cs="Arial" w:eastAsia="Arial" w:hAnsi="Arial"/>
          <w:color w:val="000000"/>
          <w:sz w:val="24"/>
          <w:szCs w:val="24"/>
        </w:rPr>
      </w:pPr>
      <w:bookmarkStart w:colFirst="0" w:colLast="0" w:name="_mtnfqzn2v02x" w:id="8"/>
      <w:bookmarkEnd w:id="8"/>
      <w:r w:rsidDel="00000000" w:rsidR="00000000" w:rsidRPr="00000000">
        <w:rPr>
          <w:rFonts w:ascii="Arial" w:cs="Arial" w:eastAsia="Arial" w:hAnsi="Arial"/>
          <w:color w:val="000000"/>
          <w:sz w:val="24"/>
          <w:szCs w:val="24"/>
          <w:rtl w:val="0"/>
        </w:rPr>
        <w:t xml:space="preserve">The Board of Directors acknowledge the requirements set out at paragraph 8 of Joint Schedule 7 (</w:t>
      </w:r>
      <w:r w:rsidDel="00000000" w:rsidR="00000000" w:rsidRPr="00000000">
        <w:rPr>
          <w:rFonts w:ascii="Arial" w:cs="Arial" w:eastAsia="Arial" w:hAnsi="Arial"/>
          <w:i w:val="1"/>
          <w:color w:val="000000"/>
          <w:sz w:val="24"/>
          <w:szCs w:val="24"/>
          <w:rtl w:val="0"/>
        </w:rPr>
        <w:t xml:space="preserve">Financial Distress</w:t>
      </w:r>
      <w:r w:rsidDel="00000000" w:rsidR="00000000" w:rsidRPr="00000000">
        <w:rPr>
          <w:rFonts w:ascii="Arial" w:cs="Arial" w:eastAsia="Arial" w:hAnsi="Arial"/>
          <w:color w:val="000000"/>
          <w:sz w:val="24"/>
          <w:szCs w:val="24"/>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200" w:before="10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15">
      <w:pPr>
        <w:numPr>
          <w:ilvl w:val="3"/>
          <w:numId w:val="2"/>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rPr>
          <w:rFonts w:ascii="Arial" w:cs="Arial" w:eastAsia="Arial" w:hAnsi="Arial"/>
        </w:rPr>
      </w:pPr>
      <w:r w:rsidDel="00000000" w:rsidR="00000000" w:rsidRPr="00000000">
        <w:rPr>
          <w:rFonts w:ascii="Arial" w:cs="Arial" w:eastAsia="Arial" w:hAnsi="Arial"/>
          <w:color w:val="000000"/>
          <w:sz w:val="24"/>
          <w:szCs w:val="24"/>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16">
      <w:pPr>
        <w:numPr>
          <w:ilvl w:val="3"/>
          <w:numId w:val="2"/>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rPr>
          <w:rFonts w:ascii="Arial" w:cs="Arial" w:eastAsia="Arial" w:hAnsi="Arial"/>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200" w:before="10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behalf of the Board of Directors:</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200" w:before="100" w:lineRule="auto"/>
        <w:ind w:left="1803"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Chair</w:t>
        <w:tab/>
        <w:tab/>
        <w:t xml:space="preserve">…………………………………</w:t>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200" w:before="100" w:lineRule="auto"/>
        <w:ind w:left="1803"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200" w:before="100" w:lineRule="auto"/>
        <w:ind w:left="1803"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200" w:before="10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200" w:before="100" w:lineRule="auto"/>
        <w:ind w:left="1803"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tab/>
        <w:tab/>
        <w:t xml:space="preserve">…………………………………</w:t>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200" w:before="100" w:lineRule="auto"/>
        <w:ind w:left="1803"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200" w:before="100" w:lineRule="auto"/>
        <w:ind w:left="1803"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21">
      <w:pPr>
        <w:spacing w:after="200" w:line="276" w:lineRule="auto"/>
        <w:rPr>
          <w:rFonts w:ascii="Arial" w:cs="Arial" w:eastAsia="Arial" w:hAnsi="Arial"/>
          <w:sz w:val="24"/>
          <w:szCs w:val="24"/>
        </w:rPr>
      </w:pPr>
      <w:bookmarkStart w:colFirst="0" w:colLast="0" w:name="_g314m8om60nk" w:id="9"/>
      <w:bookmarkEnd w:id="9"/>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6">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7">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9">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rPr>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rPr>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strategic-suppliers"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